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4BF0F" w14:textId="77777777" w:rsidR="00952420" w:rsidRPr="00952420" w:rsidRDefault="00952420" w:rsidP="00952420">
      <w:pPr>
        <w:spacing w:line="240" w:lineRule="auto"/>
        <w:rPr>
          <w:sz w:val="22"/>
          <w:szCs w:val="22"/>
        </w:rPr>
      </w:pPr>
      <w:r w:rsidRPr="00952420">
        <w:rPr>
          <w:sz w:val="22"/>
          <w:szCs w:val="22"/>
        </w:rPr>
        <w:t xml:space="preserve">Wskazówki i ostrzeżenia </w:t>
      </w:r>
    </w:p>
    <w:p w14:paraId="25A4BC93" w14:textId="77777777" w:rsidR="00952420" w:rsidRPr="00952420" w:rsidRDefault="00952420" w:rsidP="00952420">
      <w:pPr>
        <w:spacing w:line="240" w:lineRule="auto"/>
        <w:rPr>
          <w:sz w:val="22"/>
          <w:szCs w:val="22"/>
        </w:rPr>
      </w:pPr>
      <w:r w:rsidRPr="00952420">
        <w:rPr>
          <w:sz w:val="22"/>
          <w:szCs w:val="22"/>
        </w:rPr>
        <w:t xml:space="preserve">Zakłócenia spowodowane falami radiowymi </w:t>
      </w:r>
    </w:p>
    <w:p w14:paraId="5D672950" w14:textId="77777777" w:rsidR="00952420" w:rsidRPr="00952420" w:rsidRDefault="00952420" w:rsidP="00952420">
      <w:pPr>
        <w:spacing w:line="240" w:lineRule="auto"/>
        <w:rPr>
          <w:b/>
          <w:bCs/>
          <w:sz w:val="22"/>
          <w:szCs w:val="22"/>
        </w:rPr>
      </w:pPr>
      <w:r w:rsidRPr="00952420">
        <w:rPr>
          <w:b/>
          <w:bCs/>
          <w:sz w:val="22"/>
          <w:szCs w:val="22"/>
        </w:rPr>
        <w:t>Ogólne informacje dotyczące zakłóceń</w:t>
      </w:r>
      <w:r w:rsidRPr="00952420">
        <w:rPr>
          <w:b/>
          <w:bCs/>
          <w:sz w:val="22"/>
          <w:szCs w:val="22"/>
        </w:rPr>
        <w:t>.</w:t>
      </w:r>
    </w:p>
    <w:p w14:paraId="62DC84BC" w14:textId="77777777" w:rsidR="00952420" w:rsidRPr="00952420" w:rsidRDefault="00952420" w:rsidP="00952420">
      <w:pPr>
        <w:pStyle w:val="Akapitzlist"/>
        <w:numPr>
          <w:ilvl w:val="0"/>
          <w:numId w:val="4"/>
        </w:numPr>
        <w:spacing w:line="240" w:lineRule="auto"/>
        <w:rPr>
          <w:sz w:val="22"/>
          <w:szCs w:val="22"/>
        </w:rPr>
      </w:pPr>
      <w:r w:rsidRPr="00952420">
        <w:rPr>
          <w:sz w:val="22"/>
          <w:szCs w:val="22"/>
        </w:rPr>
        <w:t xml:space="preserve">Niektóre urządzenia elektroniczne mogą być podatne na zakłócenia elektromagnetyczne. Aby uniknąć zakłóceń elektromagnetycznych, należy ustawić urządzenie z dala od telewizora, radioodbiornika i innych urządzeń elektronicznych. </w:t>
      </w:r>
    </w:p>
    <w:p w14:paraId="59EEE3E7" w14:textId="3CAA0DB4" w:rsidR="00952420" w:rsidRPr="00952420" w:rsidRDefault="00952420" w:rsidP="00952420">
      <w:pPr>
        <w:spacing w:line="240" w:lineRule="auto"/>
        <w:rPr>
          <w:sz w:val="22"/>
          <w:szCs w:val="22"/>
        </w:rPr>
      </w:pPr>
      <w:r w:rsidRPr="00952420">
        <w:rPr>
          <w:b/>
          <w:bCs/>
          <w:sz w:val="22"/>
          <w:szCs w:val="22"/>
        </w:rPr>
        <w:t>Sprzęt medyczny</w:t>
      </w:r>
    </w:p>
    <w:p w14:paraId="28DA66F8" w14:textId="77777777" w:rsidR="00952420" w:rsidRPr="00952420" w:rsidRDefault="00952420" w:rsidP="00952420">
      <w:pPr>
        <w:pStyle w:val="Akapitzlist"/>
        <w:numPr>
          <w:ilvl w:val="0"/>
          <w:numId w:val="3"/>
        </w:numPr>
        <w:spacing w:line="240" w:lineRule="auto"/>
        <w:rPr>
          <w:sz w:val="22"/>
          <w:szCs w:val="22"/>
        </w:rPr>
      </w:pPr>
      <w:r w:rsidRPr="00952420">
        <w:rPr>
          <w:sz w:val="22"/>
          <w:szCs w:val="22"/>
        </w:rPr>
        <w:t xml:space="preserve">Należy wyłączyć urządzenie bezprzewodowe, gdy jest to wymagane w budynkach szpitali, klinik lub ośrodków zdrowia. Wymogi te mają zapobiegać możliwym zakłóceniom pracy czułej aparatury medycznej. </w:t>
      </w:r>
    </w:p>
    <w:p w14:paraId="3AFEF5F2" w14:textId="77777777" w:rsidR="00952420" w:rsidRPr="00952420" w:rsidRDefault="00952420" w:rsidP="00952420">
      <w:pPr>
        <w:pStyle w:val="Akapitzlist"/>
        <w:numPr>
          <w:ilvl w:val="0"/>
          <w:numId w:val="3"/>
        </w:numPr>
        <w:spacing w:line="240" w:lineRule="auto"/>
        <w:rPr>
          <w:sz w:val="22"/>
          <w:szCs w:val="22"/>
        </w:rPr>
      </w:pPr>
      <w:r w:rsidRPr="00952420">
        <w:rPr>
          <w:sz w:val="22"/>
          <w:szCs w:val="22"/>
        </w:rPr>
        <w:t>Należy zachować ostrożność podczas korzystania z urządzenia w pobliżu aparatury medycznej, takiej jak rozruszniki serca lub aparaty słuchowe.</w:t>
      </w:r>
    </w:p>
    <w:p w14:paraId="1B790527" w14:textId="77777777" w:rsidR="00952420" w:rsidRPr="00952420" w:rsidRDefault="00952420" w:rsidP="00952420">
      <w:pPr>
        <w:pStyle w:val="Akapitzlist"/>
        <w:numPr>
          <w:ilvl w:val="0"/>
          <w:numId w:val="3"/>
        </w:numPr>
        <w:spacing w:line="240" w:lineRule="auto"/>
        <w:rPr>
          <w:sz w:val="22"/>
          <w:szCs w:val="22"/>
        </w:rPr>
      </w:pPr>
      <w:r w:rsidRPr="00952420">
        <w:rPr>
          <w:sz w:val="22"/>
          <w:szCs w:val="22"/>
        </w:rPr>
        <w:t xml:space="preserve">Aby ustalić, czy działanie urządzenia może zakłócać działanie urządzeń medycznych, należy skonsultować się z lekarzem i producentem urządzeń medycznych. </w:t>
      </w:r>
    </w:p>
    <w:p w14:paraId="76AC313E" w14:textId="77777777" w:rsidR="00952420" w:rsidRPr="00952420" w:rsidRDefault="00952420" w:rsidP="00952420">
      <w:pPr>
        <w:spacing w:line="240" w:lineRule="auto"/>
        <w:rPr>
          <w:b/>
          <w:bCs/>
          <w:sz w:val="22"/>
          <w:szCs w:val="22"/>
        </w:rPr>
      </w:pPr>
      <w:r w:rsidRPr="00952420">
        <w:rPr>
          <w:b/>
          <w:bCs/>
          <w:sz w:val="22"/>
          <w:szCs w:val="22"/>
        </w:rPr>
        <w:t>Obszary zagrożone wybuchem</w:t>
      </w:r>
    </w:p>
    <w:p w14:paraId="71FFB4CB" w14:textId="77777777" w:rsidR="00952420" w:rsidRPr="00952420" w:rsidRDefault="00952420" w:rsidP="00952420">
      <w:pPr>
        <w:pStyle w:val="Akapitzlist"/>
        <w:numPr>
          <w:ilvl w:val="0"/>
          <w:numId w:val="2"/>
        </w:numPr>
        <w:spacing w:line="240" w:lineRule="auto"/>
        <w:rPr>
          <w:sz w:val="22"/>
          <w:szCs w:val="22"/>
        </w:rPr>
      </w:pPr>
      <w:r w:rsidRPr="00952420">
        <w:rPr>
          <w:sz w:val="22"/>
          <w:szCs w:val="22"/>
        </w:rPr>
        <w:t>Nie wolno używać urządzenia w pobliżu obiektów mogących stanowić zagrożenie, takich jak stacje benzynowe lub zakłady chemiczne, gdzie występują gazy lub inne substancje wybuchowe. W miejscach zagrożonych wybuchem należy przestrzegać wszystkich znaków nakazujących wyłączenie urządzeń bezprzewodowych.</w:t>
      </w:r>
    </w:p>
    <w:p w14:paraId="797E04A0" w14:textId="77777777" w:rsidR="00952420" w:rsidRPr="00952420" w:rsidRDefault="00952420" w:rsidP="00952420">
      <w:pPr>
        <w:pStyle w:val="Akapitzlist"/>
        <w:numPr>
          <w:ilvl w:val="0"/>
          <w:numId w:val="2"/>
        </w:numPr>
        <w:spacing w:line="240" w:lineRule="auto"/>
        <w:rPr>
          <w:sz w:val="22"/>
          <w:szCs w:val="22"/>
        </w:rPr>
      </w:pPr>
      <w:r w:rsidRPr="00952420">
        <w:rPr>
          <w:sz w:val="22"/>
          <w:szCs w:val="22"/>
        </w:rPr>
        <w:t xml:space="preserve">Strefy potencjalnego występowania materiałów wybuchowych obejmują miejsca przechowywania paliwa, niższe pokłady statków, instalacje </w:t>
      </w:r>
      <w:proofErr w:type="spellStart"/>
      <w:r w:rsidRPr="00952420">
        <w:rPr>
          <w:sz w:val="22"/>
          <w:szCs w:val="22"/>
        </w:rPr>
        <w:t>przesyłu</w:t>
      </w:r>
      <w:proofErr w:type="spellEnd"/>
      <w:r w:rsidRPr="00952420">
        <w:rPr>
          <w:sz w:val="22"/>
          <w:szCs w:val="22"/>
        </w:rPr>
        <w:t xml:space="preserve"> i przechowywania paliw oraz materiałów chemicznych, miejsca gdzie powietrze zawiera substancje chemiczne lub cząsteczki, takie jak ziarno, pył czy proszki metalowe.</w:t>
      </w:r>
    </w:p>
    <w:p w14:paraId="62606DB9" w14:textId="77777777" w:rsidR="00952420" w:rsidRPr="00952420" w:rsidRDefault="00952420" w:rsidP="00952420">
      <w:pPr>
        <w:pStyle w:val="Akapitzlist"/>
        <w:numPr>
          <w:ilvl w:val="0"/>
          <w:numId w:val="2"/>
        </w:numPr>
        <w:spacing w:line="240" w:lineRule="auto"/>
        <w:rPr>
          <w:sz w:val="22"/>
          <w:szCs w:val="22"/>
        </w:rPr>
      </w:pPr>
      <w:r w:rsidRPr="00952420">
        <w:rPr>
          <w:sz w:val="22"/>
          <w:szCs w:val="22"/>
        </w:rPr>
        <w:t xml:space="preserve">Nie należy przechowywać ani transportować urządzenia w pojemnikach z łatwopalnymi cieczami, gazami lub materiałami wybuchowymi. </w:t>
      </w:r>
    </w:p>
    <w:p w14:paraId="45B6B2FD" w14:textId="77777777" w:rsidR="00952420" w:rsidRPr="00952420" w:rsidRDefault="00952420" w:rsidP="00952420">
      <w:pPr>
        <w:spacing w:line="240" w:lineRule="auto"/>
        <w:rPr>
          <w:b/>
          <w:bCs/>
          <w:sz w:val="22"/>
          <w:szCs w:val="22"/>
        </w:rPr>
      </w:pPr>
      <w:r w:rsidRPr="00952420">
        <w:rPr>
          <w:b/>
          <w:bCs/>
          <w:sz w:val="22"/>
          <w:szCs w:val="22"/>
        </w:rPr>
        <w:t xml:space="preserve">Postępowanie z produktem </w:t>
      </w:r>
    </w:p>
    <w:p w14:paraId="4B9FA529" w14:textId="77777777" w:rsidR="00952420" w:rsidRPr="00952420" w:rsidRDefault="00952420" w:rsidP="00952420">
      <w:pPr>
        <w:pStyle w:val="Akapitzlist"/>
        <w:numPr>
          <w:ilvl w:val="0"/>
          <w:numId w:val="1"/>
        </w:numPr>
        <w:spacing w:line="240" w:lineRule="auto"/>
        <w:rPr>
          <w:sz w:val="22"/>
          <w:szCs w:val="22"/>
        </w:rPr>
      </w:pPr>
      <w:r w:rsidRPr="00952420">
        <w:rPr>
          <w:sz w:val="22"/>
          <w:szCs w:val="22"/>
        </w:rPr>
        <w:t xml:space="preserve">Nie należy zbliżać się do urządzenia na odległość mniejszą niż co najmniej 20 centymetrów. </w:t>
      </w:r>
    </w:p>
    <w:p w14:paraId="4B8D8D89" w14:textId="77777777" w:rsidR="00952420" w:rsidRPr="00952420" w:rsidRDefault="00952420" w:rsidP="00952420">
      <w:pPr>
        <w:pStyle w:val="Akapitzlist"/>
        <w:numPr>
          <w:ilvl w:val="0"/>
          <w:numId w:val="1"/>
        </w:numPr>
        <w:spacing w:line="240" w:lineRule="auto"/>
        <w:rPr>
          <w:sz w:val="22"/>
          <w:szCs w:val="22"/>
        </w:rPr>
      </w:pPr>
      <w:r w:rsidRPr="00952420">
        <w:rPr>
          <w:sz w:val="22"/>
          <w:szCs w:val="22"/>
        </w:rPr>
        <w:t xml:space="preserve">Aby uniknąć awarii, nie należy używać urządzenia w zapylonym, wilgotnym lub brudnym środowisku lub w pobliżu pól magnetycznych. </w:t>
      </w:r>
    </w:p>
    <w:p w14:paraId="6E5027C4" w14:textId="77777777" w:rsidR="00952420" w:rsidRPr="00952420" w:rsidRDefault="00952420" w:rsidP="00952420">
      <w:pPr>
        <w:pStyle w:val="Akapitzlist"/>
        <w:numPr>
          <w:ilvl w:val="0"/>
          <w:numId w:val="1"/>
        </w:numPr>
        <w:spacing w:line="240" w:lineRule="auto"/>
        <w:rPr>
          <w:sz w:val="22"/>
          <w:szCs w:val="22"/>
        </w:rPr>
      </w:pPr>
      <w:r w:rsidRPr="00952420">
        <w:rPr>
          <w:sz w:val="22"/>
          <w:szCs w:val="22"/>
        </w:rPr>
        <w:t>Przed podłączeniem lub odłączeniem przewodów urządzenia należy zaprzestać używania urządzenia i odłączyć zasilacz. Ręce powinny być suche podczas czynności obsługowych.</w:t>
      </w:r>
    </w:p>
    <w:p w14:paraId="0DAD50FE" w14:textId="77777777" w:rsidR="00952420" w:rsidRPr="00952420" w:rsidRDefault="00952420" w:rsidP="00952420">
      <w:pPr>
        <w:pStyle w:val="Akapitzlist"/>
        <w:numPr>
          <w:ilvl w:val="0"/>
          <w:numId w:val="1"/>
        </w:numPr>
        <w:spacing w:line="240" w:lineRule="auto"/>
        <w:rPr>
          <w:sz w:val="22"/>
          <w:szCs w:val="22"/>
        </w:rPr>
      </w:pPr>
      <w:r w:rsidRPr="00952420">
        <w:rPr>
          <w:sz w:val="22"/>
          <w:szCs w:val="22"/>
        </w:rPr>
        <w:t>Podczas montażu urządzenia należy trzymać je z dala od urządzeń elektrycznych o silnym polu magnetycznym lub elektrycznym, takich jak kuchenki mikrofalowe i lodówki.</w:t>
      </w:r>
    </w:p>
    <w:p w14:paraId="79311631" w14:textId="77777777" w:rsidR="00952420" w:rsidRPr="00952420" w:rsidRDefault="00952420" w:rsidP="00952420">
      <w:pPr>
        <w:pStyle w:val="Akapitzlist"/>
        <w:numPr>
          <w:ilvl w:val="0"/>
          <w:numId w:val="1"/>
        </w:numPr>
        <w:spacing w:line="240" w:lineRule="auto"/>
        <w:rPr>
          <w:sz w:val="22"/>
          <w:szCs w:val="22"/>
        </w:rPr>
      </w:pPr>
      <w:r w:rsidRPr="00952420">
        <w:rPr>
          <w:sz w:val="22"/>
          <w:szCs w:val="22"/>
        </w:rPr>
        <w:t>Nie należy wystawiać akcesoriów na działanie płynów, zamoczenie lub wysoką wilgotność. Należy przechowywać je w dobrze wentylowanym i chłodnym miejscu z dala od bezpośredniego światła słonecznego.</w:t>
      </w:r>
    </w:p>
    <w:p w14:paraId="5787C0CB" w14:textId="77777777" w:rsidR="00952420" w:rsidRPr="00952420" w:rsidRDefault="00952420" w:rsidP="00952420">
      <w:pPr>
        <w:pStyle w:val="Akapitzlist"/>
        <w:numPr>
          <w:ilvl w:val="0"/>
          <w:numId w:val="1"/>
        </w:numPr>
        <w:spacing w:line="240" w:lineRule="auto"/>
        <w:rPr>
          <w:sz w:val="22"/>
          <w:szCs w:val="22"/>
        </w:rPr>
      </w:pPr>
      <w:r w:rsidRPr="00952420">
        <w:rPr>
          <w:sz w:val="22"/>
          <w:szCs w:val="22"/>
        </w:rPr>
        <w:t xml:space="preserve">Urządzenie lub jego akcesoria należy przechowywać z dala od źródeł ciepła i ognia. Wysoka temperatura może skrócić okres eksploatacji urządzeń elektronicznych. </w:t>
      </w:r>
    </w:p>
    <w:p w14:paraId="6D131478" w14:textId="77777777" w:rsidR="00952420" w:rsidRPr="00952420" w:rsidRDefault="00952420" w:rsidP="00952420">
      <w:pPr>
        <w:pStyle w:val="Akapitzlist"/>
        <w:numPr>
          <w:ilvl w:val="0"/>
          <w:numId w:val="1"/>
        </w:numPr>
        <w:spacing w:line="240" w:lineRule="auto"/>
        <w:rPr>
          <w:sz w:val="22"/>
          <w:szCs w:val="22"/>
        </w:rPr>
      </w:pPr>
      <w:r w:rsidRPr="00952420">
        <w:rPr>
          <w:sz w:val="22"/>
          <w:szCs w:val="22"/>
        </w:rPr>
        <w:t xml:space="preserve">Nie owijać, nie uszczelniać ani nie przykrywać urządzenia ręcznikami ani innymi przedmiotami. Nie używać urządzenia w zamkniętym środowisku, takim jak pudełko, aby uniknąć uszkodzenia urządzenia z powodu słabego rozpraszania ciepła. </w:t>
      </w:r>
    </w:p>
    <w:p w14:paraId="7B73783B" w14:textId="77777777" w:rsidR="00952420" w:rsidRPr="00952420" w:rsidRDefault="00952420" w:rsidP="00952420">
      <w:pPr>
        <w:pStyle w:val="Akapitzlist"/>
        <w:numPr>
          <w:ilvl w:val="0"/>
          <w:numId w:val="1"/>
        </w:numPr>
        <w:spacing w:line="240" w:lineRule="auto"/>
        <w:rPr>
          <w:sz w:val="22"/>
          <w:szCs w:val="22"/>
        </w:rPr>
      </w:pPr>
      <w:r w:rsidRPr="00952420">
        <w:rPr>
          <w:sz w:val="22"/>
          <w:szCs w:val="22"/>
        </w:rPr>
        <w:t xml:space="preserve">Nie wolno dopuścić do kontaktu akcesoriów z cieczą ani z wilgocią. Nie zanurzać urządzenia i jego akcesoriów w cieczach. </w:t>
      </w:r>
    </w:p>
    <w:p w14:paraId="53B62CA9" w14:textId="77777777" w:rsidR="00952420" w:rsidRPr="00952420" w:rsidRDefault="00952420" w:rsidP="00952420">
      <w:pPr>
        <w:pStyle w:val="Akapitzlist"/>
        <w:numPr>
          <w:ilvl w:val="0"/>
          <w:numId w:val="1"/>
        </w:numPr>
        <w:spacing w:line="240" w:lineRule="auto"/>
        <w:rPr>
          <w:sz w:val="22"/>
          <w:szCs w:val="22"/>
        </w:rPr>
      </w:pPr>
      <w:r w:rsidRPr="00952420">
        <w:rPr>
          <w:sz w:val="22"/>
          <w:szCs w:val="22"/>
        </w:rPr>
        <w:lastRenderedPageBreak/>
        <w:t>Podczas normalnego użytkowania urządzenie może się nagrzewać. Jeśli temperatura urządzenia jest zbyt wysoka, nie należy go dotykać.</w:t>
      </w:r>
    </w:p>
    <w:p w14:paraId="4D6A378F" w14:textId="77777777" w:rsidR="00952420" w:rsidRPr="00952420" w:rsidRDefault="00952420" w:rsidP="00952420">
      <w:pPr>
        <w:pStyle w:val="Akapitzlist"/>
        <w:numPr>
          <w:ilvl w:val="0"/>
          <w:numId w:val="1"/>
        </w:numPr>
        <w:spacing w:line="240" w:lineRule="auto"/>
        <w:rPr>
          <w:sz w:val="22"/>
          <w:szCs w:val="22"/>
        </w:rPr>
      </w:pPr>
      <w:r w:rsidRPr="00952420">
        <w:rPr>
          <w:sz w:val="22"/>
          <w:szCs w:val="22"/>
        </w:rPr>
        <w:t xml:space="preserve">Nie należy bez potrzeby dotykać anteny. </w:t>
      </w:r>
    </w:p>
    <w:p w14:paraId="78613157" w14:textId="77777777" w:rsidR="00952420" w:rsidRPr="00952420" w:rsidRDefault="00952420" w:rsidP="00952420">
      <w:pPr>
        <w:pStyle w:val="Akapitzlist"/>
        <w:numPr>
          <w:ilvl w:val="0"/>
          <w:numId w:val="1"/>
        </w:numPr>
        <w:spacing w:line="240" w:lineRule="auto"/>
        <w:rPr>
          <w:sz w:val="22"/>
          <w:szCs w:val="22"/>
        </w:rPr>
      </w:pPr>
      <w:r w:rsidRPr="00952420">
        <w:rPr>
          <w:sz w:val="22"/>
          <w:szCs w:val="22"/>
        </w:rPr>
        <w:t>Nie należy upuszczać urządzenia ani jego akcesoriów, rzucać nimi ani próbować ich wyginać.</w:t>
      </w:r>
    </w:p>
    <w:p w14:paraId="1BAB2075" w14:textId="77777777" w:rsidR="00952420" w:rsidRPr="00952420" w:rsidRDefault="00952420" w:rsidP="00952420">
      <w:pPr>
        <w:pStyle w:val="Akapitzlist"/>
        <w:numPr>
          <w:ilvl w:val="0"/>
          <w:numId w:val="1"/>
        </w:numPr>
        <w:spacing w:line="240" w:lineRule="auto"/>
        <w:rPr>
          <w:sz w:val="22"/>
          <w:szCs w:val="22"/>
        </w:rPr>
      </w:pPr>
      <w:r w:rsidRPr="00952420">
        <w:rPr>
          <w:sz w:val="22"/>
          <w:szCs w:val="22"/>
        </w:rPr>
        <w:t>Nie należy malować urządzenia ani jego akcesoriów.</w:t>
      </w:r>
    </w:p>
    <w:p w14:paraId="008E1EB6" w14:textId="77777777" w:rsidR="00952420" w:rsidRPr="00952420" w:rsidRDefault="00952420" w:rsidP="00952420">
      <w:pPr>
        <w:pStyle w:val="Akapitzlist"/>
        <w:numPr>
          <w:ilvl w:val="0"/>
          <w:numId w:val="1"/>
        </w:numPr>
        <w:spacing w:line="240" w:lineRule="auto"/>
        <w:rPr>
          <w:sz w:val="22"/>
          <w:szCs w:val="22"/>
        </w:rPr>
      </w:pPr>
      <w:r w:rsidRPr="00952420">
        <w:rPr>
          <w:sz w:val="22"/>
          <w:szCs w:val="22"/>
        </w:rPr>
        <w:t>Nie wolno pozwalać dzieciom bawić się urządzeniem, zasilaczem ani akcesoriami. Może to spowodować uszkodzenie</w:t>
      </w:r>
      <w:r w:rsidRPr="00952420">
        <w:rPr>
          <w:sz w:val="22"/>
          <w:szCs w:val="22"/>
        </w:rPr>
        <w:t xml:space="preserve">, </w:t>
      </w:r>
      <w:r w:rsidRPr="00952420">
        <w:rPr>
          <w:sz w:val="22"/>
          <w:szCs w:val="22"/>
        </w:rPr>
        <w:t>wybuch.</w:t>
      </w:r>
    </w:p>
    <w:p w14:paraId="3BCEFD8B" w14:textId="77777777" w:rsidR="00952420" w:rsidRPr="00952420" w:rsidRDefault="00952420" w:rsidP="00952420">
      <w:pPr>
        <w:spacing w:line="240" w:lineRule="auto"/>
        <w:rPr>
          <w:b/>
          <w:bCs/>
          <w:sz w:val="22"/>
          <w:szCs w:val="22"/>
        </w:rPr>
      </w:pPr>
      <w:r w:rsidRPr="00952420">
        <w:rPr>
          <w:b/>
          <w:bCs/>
          <w:sz w:val="22"/>
          <w:szCs w:val="22"/>
        </w:rPr>
        <w:t>Małe dzieci</w:t>
      </w:r>
    </w:p>
    <w:p w14:paraId="19D846DD" w14:textId="77777777" w:rsidR="00952420" w:rsidRPr="00952420" w:rsidRDefault="00952420" w:rsidP="00952420">
      <w:pPr>
        <w:pStyle w:val="Akapitzlist"/>
        <w:numPr>
          <w:ilvl w:val="0"/>
          <w:numId w:val="5"/>
        </w:numPr>
        <w:spacing w:line="240" w:lineRule="auto"/>
        <w:rPr>
          <w:sz w:val="22"/>
          <w:szCs w:val="22"/>
        </w:rPr>
      </w:pPr>
      <w:r w:rsidRPr="00952420">
        <w:rPr>
          <w:sz w:val="22"/>
          <w:szCs w:val="22"/>
        </w:rPr>
        <w:t>Nie należy pozostawiać urządzenia ani jego akcesoriów w zasięgu dzieci i nie należy pozwalać im się nim bawić. Mogłyby one odnieść obrażenia, spowodować obrażenia u innych lub przypadkowo uszkodzić urządzenie.</w:t>
      </w:r>
    </w:p>
    <w:p w14:paraId="78E486EA" w14:textId="77777777" w:rsidR="00952420" w:rsidRPr="00952420" w:rsidRDefault="00952420" w:rsidP="00952420">
      <w:pPr>
        <w:pStyle w:val="Akapitzlist"/>
        <w:numPr>
          <w:ilvl w:val="0"/>
          <w:numId w:val="5"/>
        </w:numPr>
        <w:spacing w:line="240" w:lineRule="auto"/>
        <w:rPr>
          <w:sz w:val="22"/>
          <w:szCs w:val="22"/>
        </w:rPr>
      </w:pPr>
      <w:r w:rsidRPr="00952420">
        <w:rPr>
          <w:sz w:val="22"/>
          <w:szCs w:val="22"/>
        </w:rPr>
        <w:t xml:space="preserve">Urządzenie zawiera małe części o ostrych krawędziach, które mogą doprowadzić do obrażeń, a po ich odłączeniu mogą powodować ryzyko zakrztuszenia. </w:t>
      </w:r>
    </w:p>
    <w:p w14:paraId="3BCA640F" w14:textId="77777777" w:rsidR="00952420" w:rsidRPr="00952420" w:rsidRDefault="00952420" w:rsidP="00952420">
      <w:pPr>
        <w:spacing w:line="240" w:lineRule="auto"/>
        <w:rPr>
          <w:b/>
          <w:bCs/>
          <w:sz w:val="22"/>
          <w:szCs w:val="22"/>
        </w:rPr>
      </w:pPr>
      <w:r w:rsidRPr="00952420">
        <w:rPr>
          <w:b/>
          <w:bCs/>
          <w:sz w:val="22"/>
          <w:szCs w:val="22"/>
        </w:rPr>
        <w:t>Akcesoria</w:t>
      </w:r>
    </w:p>
    <w:p w14:paraId="1B088195" w14:textId="77777777" w:rsidR="00952420" w:rsidRPr="00952420" w:rsidRDefault="00952420" w:rsidP="00952420">
      <w:pPr>
        <w:pStyle w:val="Akapitzlist"/>
        <w:numPr>
          <w:ilvl w:val="0"/>
          <w:numId w:val="6"/>
        </w:numPr>
        <w:spacing w:line="240" w:lineRule="auto"/>
        <w:rPr>
          <w:sz w:val="22"/>
          <w:szCs w:val="22"/>
        </w:rPr>
      </w:pPr>
      <w:r w:rsidRPr="00952420">
        <w:rPr>
          <w:sz w:val="22"/>
          <w:szCs w:val="22"/>
        </w:rPr>
        <w:t>Zawsze należy stosować wyłącznie oryginalne akcesoria – lub akcesoria dopuszczone do użytku przez firmę ZTE. Akcesoria, które nie zostały dopuszczone do użytku przez firmę ZTE, mogą wpływać na wydajność pracy urządzenia, uszkodzić je lub spowodować zagrożenie dla użytkownika.</w:t>
      </w:r>
    </w:p>
    <w:p w14:paraId="6BB7AA1F" w14:textId="77777777" w:rsidR="00952420" w:rsidRPr="00952420" w:rsidRDefault="00952420" w:rsidP="00952420">
      <w:pPr>
        <w:pStyle w:val="Akapitzlist"/>
        <w:numPr>
          <w:ilvl w:val="0"/>
          <w:numId w:val="6"/>
        </w:numPr>
        <w:spacing w:line="240" w:lineRule="auto"/>
        <w:rPr>
          <w:sz w:val="22"/>
          <w:szCs w:val="22"/>
        </w:rPr>
      </w:pPr>
      <w:r w:rsidRPr="00952420">
        <w:rPr>
          <w:sz w:val="22"/>
          <w:szCs w:val="22"/>
        </w:rPr>
        <w:t xml:space="preserve">Używanie akcesoriów innego typu może spowodować utratę gwarancji na urządzenie, naruszenie lokalnych przepisów i regulacji prawnych oraz być przyczyną wypadku. Aby uzyskać zatwierdzone akcesoria, należy skontaktować się z autoryzowanym centrum serwisowym. </w:t>
      </w:r>
    </w:p>
    <w:p w14:paraId="57A7F139" w14:textId="77777777" w:rsidR="00952420" w:rsidRPr="00952420" w:rsidRDefault="00952420" w:rsidP="00952420">
      <w:pPr>
        <w:spacing w:line="240" w:lineRule="auto"/>
        <w:rPr>
          <w:b/>
          <w:bCs/>
          <w:sz w:val="22"/>
          <w:szCs w:val="22"/>
        </w:rPr>
      </w:pPr>
      <w:r w:rsidRPr="00952420">
        <w:rPr>
          <w:b/>
          <w:bCs/>
          <w:sz w:val="22"/>
          <w:szCs w:val="22"/>
        </w:rPr>
        <w:t>Bezpieczeństwo urządzeń elektrycznych</w:t>
      </w:r>
    </w:p>
    <w:p w14:paraId="076FB18C" w14:textId="77777777" w:rsidR="00952420" w:rsidRPr="00952420" w:rsidRDefault="00952420" w:rsidP="00952420">
      <w:pPr>
        <w:pStyle w:val="Akapitzlist"/>
        <w:numPr>
          <w:ilvl w:val="0"/>
          <w:numId w:val="7"/>
        </w:numPr>
        <w:spacing w:line="240" w:lineRule="auto"/>
        <w:rPr>
          <w:sz w:val="22"/>
          <w:szCs w:val="22"/>
        </w:rPr>
      </w:pPr>
      <w:r w:rsidRPr="00952420">
        <w:rPr>
          <w:sz w:val="22"/>
          <w:szCs w:val="22"/>
        </w:rPr>
        <w:t xml:space="preserve">Gniazdo sieciowe powinno być zainstalowane w pobliżu urządzenia i powinno być łatwo dostępne. </w:t>
      </w:r>
    </w:p>
    <w:p w14:paraId="6F8F0A90" w14:textId="77777777" w:rsidR="00952420" w:rsidRPr="00952420" w:rsidRDefault="00952420" w:rsidP="00952420">
      <w:pPr>
        <w:pStyle w:val="Akapitzlist"/>
        <w:numPr>
          <w:ilvl w:val="0"/>
          <w:numId w:val="7"/>
        </w:numPr>
        <w:spacing w:line="240" w:lineRule="auto"/>
        <w:rPr>
          <w:sz w:val="22"/>
          <w:szCs w:val="22"/>
        </w:rPr>
      </w:pPr>
      <w:r w:rsidRPr="00952420">
        <w:rPr>
          <w:sz w:val="22"/>
          <w:szCs w:val="22"/>
        </w:rPr>
        <w:t xml:space="preserve">Wtyczka zasilająca jest przeznaczona do podłączania i odłączania zasilania. </w:t>
      </w:r>
    </w:p>
    <w:p w14:paraId="508919DB" w14:textId="77777777" w:rsidR="00952420" w:rsidRPr="00952420" w:rsidRDefault="00952420" w:rsidP="00952420">
      <w:pPr>
        <w:pStyle w:val="Akapitzlist"/>
        <w:numPr>
          <w:ilvl w:val="0"/>
          <w:numId w:val="7"/>
        </w:numPr>
        <w:spacing w:line="240" w:lineRule="auto"/>
        <w:rPr>
          <w:sz w:val="22"/>
          <w:szCs w:val="22"/>
        </w:rPr>
      </w:pPr>
      <w:r w:rsidRPr="00952420">
        <w:rPr>
          <w:sz w:val="22"/>
          <w:szCs w:val="22"/>
        </w:rPr>
        <w:t xml:space="preserve">Gdy urządzenie nie jest używane, należy odłączyć zasilacz od gniazda zasilania i urządzenia. </w:t>
      </w:r>
    </w:p>
    <w:p w14:paraId="797D41EC" w14:textId="77777777" w:rsidR="00952420" w:rsidRPr="00952420" w:rsidRDefault="00952420" w:rsidP="00952420">
      <w:pPr>
        <w:pStyle w:val="Akapitzlist"/>
        <w:numPr>
          <w:ilvl w:val="0"/>
          <w:numId w:val="7"/>
        </w:numPr>
        <w:spacing w:line="240" w:lineRule="auto"/>
        <w:rPr>
          <w:sz w:val="22"/>
          <w:szCs w:val="22"/>
        </w:rPr>
      </w:pPr>
      <w:r w:rsidRPr="00952420">
        <w:rPr>
          <w:sz w:val="22"/>
          <w:szCs w:val="22"/>
        </w:rPr>
        <w:t xml:space="preserve">Nie upuszczać ani nie uderzać zasilacza. W przypadku uszkodzenia należy skontaktować się z autoryzowanym centrum serwisowym w celu przeprowadzenia kontroli. </w:t>
      </w:r>
    </w:p>
    <w:p w14:paraId="098712DD" w14:textId="77777777" w:rsidR="00952420" w:rsidRPr="00952420" w:rsidRDefault="00952420" w:rsidP="00952420">
      <w:pPr>
        <w:pStyle w:val="Akapitzlist"/>
        <w:numPr>
          <w:ilvl w:val="0"/>
          <w:numId w:val="7"/>
        </w:numPr>
        <w:spacing w:line="240" w:lineRule="auto"/>
        <w:rPr>
          <w:sz w:val="22"/>
          <w:szCs w:val="22"/>
        </w:rPr>
      </w:pPr>
      <w:r w:rsidRPr="00952420">
        <w:rPr>
          <w:sz w:val="22"/>
          <w:szCs w:val="22"/>
        </w:rPr>
        <w:t xml:space="preserve">Jeśli wtyczka lub przewód zasilający są uszkodzone, należy natychmiast zaprzestać korzystania z urządzenia. Dalsze użytkowanie może spowodować porażenie prądem lub pożar. </w:t>
      </w:r>
    </w:p>
    <w:p w14:paraId="1B894E57" w14:textId="77777777" w:rsidR="00952420" w:rsidRPr="00952420" w:rsidRDefault="00952420" w:rsidP="00952420">
      <w:pPr>
        <w:pStyle w:val="Akapitzlist"/>
        <w:numPr>
          <w:ilvl w:val="0"/>
          <w:numId w:val="7"/>
        </w:numPr>
        <w:spacing w:line="240" w:lineRule="auto"/>
        <w:rPr>
          <w:sz w:val="22"/>
          <w:szCs w:val="22"/>
        </w:rPr>
      </w:pPr>
      <w:r w:rsidRPr="00952420">
        <w:rPr>
          <w:sz w:val="22"/>
          <w:szCs w:val="22"/>
        </w:rPr>
        <w:t xml:space="preserve">Nie dotykać przewodu zasilającego mokrymi rękami ani nie ciągnąć za przewód zasilający, aby odłączyć zasilacz. </w:t>
      </w:r>
    </w:p>
    <w:p w14:paraId="6360E8C2" w14:textId="77777777" w:rsidR="00952420" w:rsidRPr="00952420" w:rsidRDefault="00952420" w:rsidP="00952420">
      <w:pPr>
        <w:pStyle w:val="Akapitzlist"/>
        <w:numPr>
          <w:ilvl w:val="0"/>
          <w:numId w:val="7"/>
        </w:numPr>
        <w:spacing w:line="240" w:lineRule="auto"/>
        <w:rPr>
          <w:sz w:val="22"/>
          <w:szCs w:val="22"/>
        </w:rPr>
      </w:pPr>
      <w:r w:rsidRPr="00952420">
        <w:rPr>
          <w:sz w:val="22"/>
          <w:szCs w:val="22"/>
        </w:rPr>
        <w:t xml:space="preserve">Aby uniknąć zwarcia, nieprawidłowego działania lub porażenia prądem elektrycznym, nie wolno dotykać urządzenia ani zasilacza mokrymi rękoma. </w:t>
      </w:r>
    </w:p>
    <w:p w14:paraId="3C9B6E1A" w14:textId="326EE556" w:rsidR="00635B09" w:rsidRPr="00952420" w:rsidRDefault="00952420" w:rsidP="00952420">
      <w:pPr>
        <w:pStyle w:val="Akapitzlist"/>
        <w:numPr>
          <w:ilvl w:val="0"/>
          <w:numId w:val="7"/>
        </w:numPr>
        <w:spacing w:line="240" w:lineRule="auto"/>
        <w:rPr>
          <w:sz w:val="22"/>
          <w:szCs w:val="22"/>
        </w:rPr>
      </w:pPr>
      <w:r w:rsidRPr="00952420">
        <w:rPr>
          <w:sz w:val="22"/>
          <w:szCs w:val="22"/>
        </w:rPr>
        <w:t>Jeśli zasilacz jest narażony na działanie deszczu, cieczy lub silnej wilgoci, należy zaprzestać jego używania i skontaktować się z autoryzowanym centrum serwisowym w celu przeprowadzenia przeglądu.</w:t>
      </w:r>
    </w:p>
    <w:sectPr w:rsidR="00635B09" w:rsidRPr="00952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277B"/>
    <w:multiLevelType w:val="hybridMultilevel"/>
    <w:tmpl w:val="9C40C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8A6AD5"/>
    <w:multiLevelType w:val="hybridMultilevel"/>
    <w:tmpl w:val="6590CA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53DD6"/>
    <w:multiLevelType w:val="hybridMultilevel"/>
    <w:tmpl w:val="E51AB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A23248"/>
    <w:multiLevelType w:val="hybridMultilevel"/>
    <w:tmpl w:val="66C2A1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B33C1D"/>
    <w:multiLevelType w:val="hybridMultilevel"/>
    <w:tmpl w:val="CC288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55468C2"/>
    <w:multiLevelType w:val="hybridMultilevel"/>
    <w:tmpl w:val="53B26B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5D12163"/>
    <w:multiLevelType w:val="hybridMultilevel"/>
    <w:tmpl w:val="069E34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863709">
    <w:abstractNumId w:val="2"/>
  </w:num>
  <w:num w:numId="2" w16cid:durableId="132648946">
    <w:abstractNumId w:val="5"/>
  </w:num>
  <w:num w:numId="3" w16cid:durableId="524638851">
    <w:abstractNumId w:val="0"/>
  </w:num>
  <w:num w:numId="4" w16cid:durableId="1574656111">
    <w:abstractNumId w:val="6"/>
  </w:num>
  <w:num w:numId="5" w16cid:durableId="1845902734">
    <w:abstractNumId w:val="3"/>
  </w:num>
  <w:num w:numId="6" w16cid:durableId="645864900">
    <w:abstractNumId w:val="1"/>
  </w:num>
  <w:num w:numId="7" w16cid:durableId="539557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20"/>
    <w:rsid w:val="00635B09"/>
    <w:rsid w:val="00952420"/>
    <w:rsid w:val="00B46E5F"/>
    <w:rsid w:val="00D00A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DD58"/>
  <w15:chartTrackingRefBased/>
  <w15:docId w15:val="{1141CF9A-F7C4-45FE-8D89-820ABC77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52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52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5242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5242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5242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5242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242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242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242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242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5242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5242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5242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5242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5242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242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242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2420"/>
    <w:rPr>
      <w:rFonts w:eastAsiaTheme="majorEastAsia" w:cstheme="majorBidi"/>
      <w:color w:val="272727" w:themeColor="text1" w:themeTint="D8"/>
    </w:rPr>
  </w:style>
  <w:style w:type="paragraph" w:styleId="Tytu">
    <w:name w:val="Title"/>
    <w:basedOn w:val="Normalny"/>
    <w:next w:val="Normalny"/>
    <w:link w:val="TytuZnak"/>
    <w:uiPriority w:val="10"/>
    <w:qFormat/>
    <w:rsid w:val="00952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242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242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242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2420"/>
    <w:pPr>
      <w:spacing w:before="160"/>
      <w:jc w:val="center"/>
    </w:pPr>
    <w:rPr>
      <w:i/>
      <w:iCs/>
      <w:color w:val="404040" w:themeColor="text1" w:themeTint="BF"/>
    </w:rPr>
  </w:style>
  <w:style w:type="character" w:customStyle="1" w:styleId="CytatZnak">
    <w:name w:val="Cytat Znak"/>
    <w:basedOn w:val="Domylnaczcionkaakapitu"/>
    <w:link w:val="Cytat"/>
    <w:uiPriority w:val="29"/>
    <w:rsid w:val="00952420"/>
    <w:rPr>
      <w:i/>
      <w:iCs/>
      <w:color w:val="404040" w:themeColor="text1" w:themeTint="BF"/>
    </w:rPr>
  </w:style>
  <w:style w:type="paragraph" w:styleId="Akapitzlist">
    <w:name w:val="List Paragraph"/>
    <w:basedOn w:val="Normalny"/>
    <w:uiPriority w:val="34"/>
    <w:qFormat/>
    <w:rsid w:val="00952420"/>
    <w:pPr>
      <w:ind w:left="720"/>
      <w:contextualSpacing/>
    </w:pPr>
  </w:style>
  <w:style w:type="character" w:styleId="Wyrnienieintensywne">
    <w:name w:val="Intense Emphasis"/>
    <w:basedOn w:val="Domylnaczcionkaakapitu"/>
    <w:uiPriority w:val="21"/>
    <w:qFormat/>
    <w:rsid w:val="00952420"/>
    <w:rPr>
      <w:i/>
      <w:iCs/>
      <w:color w:val="0F4761" w:themeColor="accent1" w:themeShade="BF"/>
    </w:rPr>
  </w:style>
  <w:style w:type="paragraph" w:styleId="Cytatintensywny">
    <w:name w:val="Intense Quote"/>
    <w:basedOn w:val="Normalny"/>
    <w:next w:val="Normalny"/>
    <w:link w:val="CytatintensywnyZnak"/>
    <w:uiPriority w:val="30"/>
    <w:qFormat/>
    <w:rsid w:val="00952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52420"/>
    <w:rPr>
      <w:i/>
      <w:iCs/>
      <w:color w:val="0F4761" w:themeColor="accent1" w:themeShade="BF"/>
    </w:rPr>
  </w:style>
  <w:style w:type="character" w:styleId="Odwoanieintensywne">
    <w:name w:val="Intense Reference"/>
    <w:basedOn w:val="Domylnaczcionkaakapitu"/>
    <w:uiPriority w:val="32"/>
    <w:qFormat/>
    <w:rsid w:val="009524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761</Words>
  <Characters>4571</Characters>
  <Application>Microsoft Office Word</Application>
  <DocSecurity>0</DocSecurity>
  <Lines>38</Lines>
  <Paragraphs>10</Paragraphs>
  <ScaleCrop>false</ScaleCrop>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Kaczmarek</dc:creator>
  <cp:keywords/>
  <dc:description/>
  <cp:lastModifiedBy>Izabela Kaczmarek</cp:lastModifiedBy>
  <cp:revision>1</cp:revision>
  <dcterms:created xsi:type="dcterms:W3CDTF">2026-01-26T12:13:00Z</dcterms:created>
  <dcterms:modified xsi:type="dcterms:W3CDTF">2026-01-26T12:22:00Z</dcterms:modified>
</cp:coreProperties>
</file>